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8AC1" w14:textId="56E9EF05" w:rsidR="00F73EBB" w:rsidRPr="00597071" w:rsidRDefault="00BD1D0D" w:rsidP="009435AB">
      <w:pPr>
        <w:pStyle w:val="Heading1"/>
      </w:pPr>
      <w:r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3DC97F11">
                <wp:simplePos x="0" y="0"/>
                <wp:positionH relativeFrom="column">
                  <wp:posOffset>-4445</wp:posOffset>
                </wp:positionH>
                <wp:positionV relativeFrom="paragraph">
                  <wp:posOffset>773113</wp:posOffset>
                </wp:positionV>
                <wp:extent cx="6214745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7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2C6E24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0.9pt" to="489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431F2F" w:rsidRPr="00431F2F">
        <w:rPr>
          <w:sz w:val="36"/>
          <w:szCs w:val="36"/>
        </w:rPr>
        <w:br/>
      </w:r>
      <w:r w:rsidRPr="00BD1D0D">
        <w:t xml:space="preserve"> </w:t>
      </w:r>
      <w:r>
        <w:t>Summarized Writing Guide</w:t>
      </w:r>
    </w:p>
    <w:p w14:paraId="30DB0C17" w14:textId="3277B40F" w:rsidR="007C7127" w:rsidRDefault="006B10EA" w:rsidP="009435AB">
      <w:pPr>
        <w:pStyle w:val="Subtitle"/>
      </w:pPr>
      <w:r>
        <w:br/>
      </w:r>
      <w:r w:rsidR="00802BE4">
        <w:t>Frances Lopez,</w:t>
      </w:r>
      <w:r w:rsidR="00BD1D0D">
        <w:t xml:space="preserve"> The University of Texas at Austin</w:t>
      </w:r>
    </w:p>
    <w:p w14:paraId="1151F2E8" w14:textId="6EC258F1" w:rsidR="00731B6B" w:rsidRPr="00731B6B" w:rsidRDefault="00731B6B" w:rsidP="00731B6B">
      <w:pPr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</w:p>
    <w:p w14:paraId="6F46CAC1" w14:textId="77777777" w:rsidR="00F35736" w:rsidRPr="00F277E2" w:rsidRDefault="00F35736" w:rsidP="0067287F">
      <w:pPr>
        <w:spacing w:before="0"/>
        <w:rPr>
          <w:color w:val="4472C4" w:themeColor="accent1"/>
        </w:rPr>
      </w:pPr>
      <w:bookmarkStart w:id="0" w:name="_Hlk214622775"/>
      <w:bookmarkStart w:id="1" w:name="_Hlk214622752"/>
      <w:r w:rsidRPr="00F277E2">
        <w:rPr>
          <w:color w:val="4472C4" w:themeColor="accent1"/>
        </w:rPr>
        <w:t xml:space="preserve">Graff, G., Birkenstein, C., &amp; Durst, R. (2021). </w:t>
      </w:r>
      <w:r w:rsidRPr="00FF5843">
        <w:rPr>
          <w:i/>
          <w:iCs/>
          <w:color w:val="4472C4" w:themeColor="accent1"/>
        </w:rPr>
        <w:t>They say I say: The moves that matter in academic writing (with readings)</w:t>
      </w:r>
      <w:r w:rsidRPr="00F277E2">
        <w:rPr>
          <w:color w:val="4472C4" w:themeColor="accent1"/>
        </w:rPr>
        <w:t>. W.W. Norton &amp; Company</w:t>
      </w:r>
    </w:p>
    <w:p w14:paraId="09DD4CF8" w14:textId="77777777" w:rsidR="00F35736" w:rsidRPr="00F277E2" w:rsidRDefault="00F35736" w:rsidP="00F35736">
      <w:pPr>
        <w:rPr>
          <w:i/>
        </w:rPr>
      </w:pPr>
      <w:r>
        <w:rPr>
          <w:i/>
        </w:rPr>
        <w:t>This book can serve as a menu of resources. Start by looking at some of the sentence templates they offer.</w:t>
      </w:r>
      <w:r>
        <w:rPr>
          <w:b/>
          <w:i/>
        </w:rPr>
        <w:t xml:space="preserve"> I recommend reading the Introduction and Chapter 1 or reflecting on the quotes below, then </w:t>
      </w:r>
      <w:proofErr w:type="gramStart"/>
      <w:r>
        <w:rPr>
          <w:b/>
          <w:i/>
        </w:rPr>
        <w:t>read</w:t>
      </w:r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>ONE chapter</w:t>
      </w:r>
      <w:proofErr w:type="gramEnd"/>
      <w:r>
        <w:rPr>
          <w:b/>
          <w:i/>
        </w:rPr>
        <w:t xml:space="preserve"> from PART 4.</w:t>
      </w:r>
      <w:r>
        <w:rPr>
          <w:i/>
        </w:rPr>
        <w:t xml:space="preserve"> As you read, reflect on the following questions: </w:t>
      </w:r>
    </w:p>
    <w:p w14:paraId="09DE8D81" w14:textId="77777777" w:rsidR="00F35736" w:rsidRPr="008A1C0A" w:rsidRDefault="00F35736" w:rsidP="00F35736">
      <w:pPr>
        <w:rPr>
          <w:rFonts w:eastAsia="Josefin Sans" w:cs="Josefin Sans"/>
          <w:szCs w:val="20"/>
        </w:rPr>
      </w:pPr>
      <w:r w:rsidRPr="008A1C0A">
        <w:rPr>
          <w:rFonts w:eastAsia="Josefin Sans" w:cs="Josefin Sans"/>
          <w:i/>
          <w:szCs w:val="20"/>
        </w:rPr>
        <w:t>How does this make you think about your own writing? What would you use from this guide and when?</w:t>
      </w:r>
    </w:p>
    <w:p w14:paraId="39E74550" w14:textId="77777777" w:rsidR="00F35736" w:rsidRDefault="00F35736" w:rsidP="00F35736">
      <w:pPr>
        <w:widowControl w:val="0"/>
        <w:jc w:val="both"/>
        <w:rPr>
          <w:i/>
        </w:rPr>
      </w:pPr>
      <w:r>
        <w:rPr>
          <w:i/>
        </w:rPr>
        <w:t>“They say that academic writing is not done in a vacuum and that it is important to enter the conversation in relation to and with others who have spoken on the subject.” (p. 1)</w:t>
      </w:r>
    </w:p>
    <w:p w14:paraId="785AD16C" w14:textId="77777777" w:rsidR="00F35736" w:rsidRDefault="00F35736" w:rsidP="00F35736">
      <w:pPr>
        <w:widowControl w:val="0"/>
        <w:jc w:val="both"/>
        <w:rPr>
          <w:i/>
        </w:rPr>
      </w:pPr>
      <w:r>
        <w:rPr>
          <w:i/>
        </w:rPr>
        <w:t>“... if you don’t identify the ‘they say’ you’re responding to, your own argument probably won’t have a point. Readers will wonder what prompted you to say what you’re saying and therefore motivated you to write.” (p. 4)</w:t>
      </w:r>
    </w:p>
    <w:p w14:paraId="4F210163" w14:textId="77777777" w:rsidR="00F35736" w:rsidRDefault="00F35736" w:rsidP="00F35736">
      <w:pPr>
        <w:widowControl w:val="0"/>
        <w:jc w:val="both"/>
        <w:rPr>
          <w:i/>
        </w:rPr>
      </w:pPr>
      <w:r>
        <w:rPr>
          <w:i/>
        </w:rPr>
        <w:t>“...scholarly sources are scholarly precisely because they draw so heavily on other sources and include key elements like works-cited pages, references, or bibliographies that tell you exactly where those other sources can be found.” (p. 210)</w:t>
      </w:r>
    </w:p>
    <w:p w14:paraId="403F1532" w14:textId="77777777" w:rsidR="00F35736" w:rsidRPr="00121A9B" w:rsidRDefault="00F35736" w:rsidP="00F35736">
      <w:pPr>
        <w:pStyle w:val="Heading2"/>
      </w:pPr>
      <w:r w:rsidRPr="00121A9B">
        <w:t>V</w:t>
      </w:r>
      <w:r>
        <w:t>erbs For Introducing Summaries and Quotations</w:t>
      </w:r>
    </w:p>
    <w:p w14:paraId="6A981920" w14:textId="59B3D81D" w:rsidR="00F35736" w:rsidRDefault="00F35736" w:rsidP="00F35736">
      <w:pPr>
        <w:pStyle w:val="Heading3"/>
      </w:pPr>
      <w:r w:rsidRPr="008A1C0A">
        <w:t>V</w:t>
      </w:r>
      <w:r w:rsidR="00DE6E81">
        <w:t>erbs For Making a Claim</w:t>
      </w:r>
      <w:r>
        <w:t xml:space="preserve"> </w:t>
      </w:r>
    </w:p>
    <w:p w14:paraId="4F1CFE06" w14:textId="42F275A5" w:rsidR="00F35736" w:rsidRDefault="00F35736" w:rsidP="00F35736">
      <w:pPr>
        <w:pStyle w:val="ListParagraph"/>
        <w:numPr>
          <w:ilvl w:val="0"/>
          <w:numId w:val="21"/>
        </w:numPr>
      </w:pPr>
      <w:r>
        <w:t>argue</w:t>
      </w:r>
    </w:p>
    <w:p w14:paraId="264A045F" w14:textId="77777777" w:rsidR="00F35736" w:rsidRDefault="00F35736" w:rsidP="00F35736">
      <w:pPr>
        <w:pStyle w:val="ListParagraph"/>
        <w:numPr>
          <w:ilvl w:val="0"/>
          <w:numId w:val="21"/>
        </w:numPr>
      </w:pPr>
      <w:r>
        <w:t>insist</w:t>
      </w:r>
    </w:p>
    <w:p w14:paraId="00968256" w14:textId="77777777" w:rsidR="00F35736" w:rsidRDefault="00F35736" w:rsidP="00F35736">
      <w:pPr>
        <w:pStyle w:val="ListParagraph"/>
        <w:numPr>
          <w:ilvl w:val="0"/>
          <w:numId w:val="21"/>
        </w:numPr>
      </w:pPr>
      <w:r>
        <w:t>assert</w:t>
      </w:r>
    </w:p>
    <w:p w14:paraId="2912DE35" w14:textId="77777777" w:rsidR="00F35736" w:rsidRDefault="00F35736" w:rsidP="00F35736">
      <w:pPr>
        <w:pStyle w:val="ListParagraph"/>
        <w:numPr>
          <w:ilvl w:val="0"/>
          <w:numId w:val="21"/>
        </w:numPr>
      </w:pPr>
      <w:r>
        <w:t>observe</w:t>
      </w:r>
    </w:p>
    <w:p w14:paraId="53E35D3D" w14:textId="77777777" w:rsidR="00F35736" w:rsidRDefault="00F35736" w:rsidP="00F35736">
      <w:pPr>
        <w:pStyle w:val="ListParagraph"/>
        <w:numPr>
          <w:ilvl w:val="0"/>
          <w:numId w:val="21"/>
        </w:numPr>
      </w:pPr>
      <w:r>
        <w:t>believe</w:t>
      </w:r>
    </w:p>
    <w:p w14:paraId="547CC52A" w14:textId="77777777" w:rsidR="00F35736" w:rsidRDefault="00F35736" w:rsidP="00F35736">
      <w:pPr>
        <w:pStyle w:val="ListParagraph"/>
        <w:numPr>
          <w:ilvl w:val="0"/>
          <w:numId w:val="21"/>
        </w:numPr>
      </w:pPr>
      <w:r>
        <w:t>remind us</w:t>
      </w:r>
    </w:p>
    <w:p w14:paraId="51A4AFE1" w14:textId="77777777" w:rsidR="00F35736" w:rsidRDefault="00F35736" w:rsidP="00F35736">
      <w:pPr>
        <w:pStyle w:val="ListParagraph"/>
        <w:numPr>
          <w:ilvl w:val="0"/>
          <w:numId w:val="21"/>
        </w:numPr>
      </w:pPr>
      <w:r>
        <w:t>claim</w:t>
      </w:r>
    </w:p>
    <w:p w14:paraId="35FC197D" w14:textId="77777777" w:rsidR="00F35736" w:rsidRDefault="00F35736" w:rsidP="00F35736">
      <w:pPr>
        <w:pStyle w:val="ListParagraph"/>
        <w:numPr>
          <w:ilvl w:val="0"/>
          <w:numId w:val="21"/>
        </w:numPr>
      </w:pPr>
      <w:r>
        <w:t>report</w:t>
      </w:r>
    </w:p>
    <w:p w14:paraId="236AA694" w14:textId="77777777" w:rsidR="00F35736" w:rsidRDefault="00F35736" w:rsidP="00F35736">
      <w:pPr>
        <w:pStyle w:val="ListParagraph"/>
        <w:numPr>
          <w:ilvl w:val="0"/>
          <w:numId w:val="21"/>
        </w:numPr>
      </w:pPr>
      <w:bookmarkStart w:id="2" w:name="_Hlk214622810"/>
      <w:bookmarkEnd w:id="0"/>
      <w:r>
        <w:t>emphasize</w:t>
      </w:r>
    </w:p>
    <w:p w14:paraId="4D855142" w14:textId="77777777" w:rsidR="00F35736" w:rsidRDefault="00F35736" w:rsidP="00F35736">
      <w:pPr>
        <w:pStyle w:val="ListParagraph"/>
        <w:numPr>
          <w:ilvl w:val="0"/>
          <w:numId w:val="21"/>
        </w:numPr>
      </w:pPr>
      <w:proofErr w:type="gramStart"/>
      <w:r>
        <w:t>suggest</w:t>
      </w:r>
      <w:bookmarkStart w:id="3" w:name="_Hlk214622838"/>
      <w:bookmarkEnd w:id="2"/>
      <w:proofErr w:type="gramEnd"/>
    </w:p>
    <w:p w14:paraId="0E8B347C" w14:textId="597423D8" w:rsidR="00F35736" w:rsidRDefault="00F35736" w:rsidP="00F35736">
      <w:pPr>
        <w:pStyle w:val="Heading3"/>
      </w:pPr>
      <w:r w:rsidRPr="008A1C0A">
        <w:t>V</w:t>
      </w:r>
      <w:r w:rsidR="00DE6E81">
        <w:t>erbs For Expressing Agreement</w:t>
      </w:r>
    </w:p>
    <w:p w14:paraId="0D6934EB" w14:textId="77777777" w:rsidR="00F35736" w:rsidRDefault="00F35736" w:rsidP="00F35736">
      <w:pPr>
        <w:pStyle w:val="ListParagraph"/>
        <w:numPr>
          <w:ilvl w:val="0"/>
          <w:numId w:val="22"/>
        </w:numPr>
      </w:pPr>
      <w:r>
        <w:t>acknowledge</w:t>
      </w:r>
    </w:p>
    <w:p w14:paraId="181FD3DF" w14:textId="77777777" w:rsidR="00F35736" w:rsidRDefault="00F35736" w:rsidP="00F35736">
      <w:pPr>
        <w:pStyle w:val="ListParagraph"/>
        <w:numPr>
          <w:ilvl w:val="0"/>
          <w:numId w:val="22"/>
        </w:numPr>
      </w:pPr>
      <w:proofErr w:type="gramStart"/>
      <w:r>
        <w:t>admire</w:t>
      </w:r>
      <w:proofErr w:type="gramEnd"/>
    </w:p>
    <w:p w14:paraId="180FC3D8" w14:textId="77777777" w:rsidR="00F35736" w:rsidRDefault="00F35736" w:rsidP="00F35736">
      <w:pPr>
        <w:pStyle w:val="ListParagraph"/>
        <w:numPr>
          <w:ilvl w:val="0"/>
          <w:numId w:val="22"/>
        </w:numPr>
      </w:pPr>
      <w:r>
        <w:t>admit</w:t>
      </w:r>
    </w:p>
    <w:p w14:paraId="2FD8E0EE" w14:textId="77777777" w:rsidR="00F35736" w:rsidRDefault="00F35736" w:rsidP="00F35736">
      <w:pPr>
        <w:pStyle w:val="ListParagraph"/>
        <w:numPr>
          <w:ilvl w:val="0"/>
          <w:numId w:val="22"/>
        </w:numPr>
      </w:pPr>
      <w:r>
        <w:t>agree</w:t>
      </w:r>
    </w:p>
    <w:p w14:paraId="2E39CB6D" w14:textId="77777777" w:rsidR="00F35736" w:rsidRDefault="00F35736" w:rsidP="00F35736">
      <w:pPr>
        <w:pStyle w:val="ListParagraph"/>
        <w:numPr>
          <w:ilvl w:val="0"/>
          <w:numId w:val="22"/>
        </w:numPr>
      </w:pPr>
      <w:r>
        <w:t>celebrate</w:t>
      </w:r>
    </w:p>
    <w:p w14:paraId="7A3DDA94" w14:textId="77777777" w:rsidR="00F35736" w:rsidRDefault="00F35736" w:rsidP="00F35736">
      <w:pPr>
        <w:pStyle w:val="ListParagraph"/>
        <w:numPr>
          <w:ilvl w:val="0"/>
          <w:numId w:val="22"/>
        </w:numPr>
      </w:pPr>
      <w:r>
        <w:t>concede</w:t>
      </w:r>
    </w:p>
    <w:p w14:paraId="31F752A2" w14:textId="77777777" w:rsidR="00F35736" w:rsidRDefault="00F35736" w:rsidP="00F35736">
      <w:pPr>
        <w:pStyle w:val="ListParagraph"/>
        <w:numPr>
          <w:ilvl w:val="0"/>
          <w:numId w:val="22"/>
        </w:numPr>
      </w:pPr>
      <w:r>
        <w:t>corroborate</w:t>
      </w:r>
    </w:p>
    <w:p w14:paraId="7829D5DB" w14:textId="77777777" w:rsidR="00F35736" w:rsidRDefault="00F35736" w:rsidP="00F35736">
      <w:pPr>
        <w:pStyle w:val="ListParagraph"/>
        <w:numPr>
          <w:ilvl w:val="0"/>
          <w:numId w:val="22"/>
        </w:numPr>
      </w:pPr>
      <w:r>
        <w:lastRenderedPageBreak/>
        <w:t>do not deny</w:t>
      </w:r>
    </w:p>
    <w:p w14:paraId="77FE3DEC" w14:textId="77777777" w:rsidR="00F35736" w:rsidRDefault="00F35736" w:rsidP="00F35736">
      <w:pPr>
        <w:pStyle w:val="ListParagraph"/>
        <w:numPr>
          <w:ilvl w:val="0"/>
          <w:numId w:val="22"/>
        </w:numPr>
      </w:pPr>
      <w:proofErr w:type="gramStart"/>
      <w:r>
        <w:t>endorse</w:t>
      </w:r>
      <w:proofErr w:type="gramEnd"/>
    </w:p>
    <w:p w14:paraId="6F9A813D" w14:textId="77777777" w:rsidR="00F35736" w:rsidRDefault="00F35736" w:rsidP="00F35736">
      <w:pPr>
        <w:pStyle w:val="ListParagraph"/>
        <w:numPr>
          <w:ilvl w:val="0"/>
          <w:numId w:val="22"/>
        </w:numPr>
      </w:pPr>
      <w:r>
        <w:t>praise</w:t>
      </w:r>
    </w:p>
    <w:p w14:paraId="155D00C4" w14:textId="77777777" w:rsidR="00F35736" w:rsidRDefault="00F35736" w:rsidP="00F35736">
      <w:pPr>
        <w:pStyle w:val="ListParagraph"/>
        <w:numPr>
          <w:ilvl w:val="0"/>
          <w:numId w:val="22"/>
        </w:numPr>
      </w:pPr>
      <w:r>
        <w:t>reaffirm</w:t>
      </w:r>
    </w:p>
    <w:p w14:paraId="2BF31F91" w14:textId="77777777" w:rsidR="00F35736" w:rsidRDefault="00F35736" w:rsidP="00F35736">
      <w:pPr>
        <w:pStyle w:val="ListParagraph"/>
        <w:numPr>
          <w:ilvl w:val="0"/>
          <w:numId w:val="22"/>
        </w:numPr>
      </w:pPr>
      <w:r>
        <w:t>support</w:t>
      </w:r>
    </w:p>
    <w:p w14:paraId="290ED8A4" w14:textId="77777777" w:rsidR="00F35736" w:rsidRDefault="00F35736" w:rsidP="00F35736">
      <w:pPr>
        <w:pStyle w:val="ListParagraph"/>
        <w:numPr>
          <w:ilvl w:val="0"/>
          <w:numId w:val="22"/>
        </w:numPr>
      </w:pPr>
      <w:r>
        <w:t>verify</w:t>
      </w:r>
    </w:p>
    <w:p w14:paraId="3999D2B0" w14:textId="3F20B34B" w:rsidR="00F35736" w:rsidRDefault="00F35736" w:rsidP="00F35736">
      <w:pPr>
        <w:pStyle w:val="Heading3"/>
      </w:pPr>
      <w:r w:rsidRPr="008A1C0A">
        <w:t>V</w:t>
      </w:r>
      <w:r w:rsidR="00DE6E81">
        <w:t>erbs For Questioning or Disagreeing</w:t>
      </w:r>
    </w:p>
    <w:p w14:paraId="5D346BDF" w14:textId="77777777" w:rsidR="00F35736" w:rsidRDefault="00F35736" w:rsidP="00F35736">
      <w:pPr>
        <w:pStyle w:val="ListParagraph"/>
        <w:numPr>
          <w:ilvl w:val="0"/>
          <w:numId w:val="23"/>
        </w:numPr>
      </w:pPr>
      <w:proofErr w:type="gramStart"/>
      <w:r>
        <w:t>complain</w:t>
      </w:r>
      <w:proofErr w:type="gramEnd"/>
    </w:p>
    <w:p w14:paraId="3F1B4438" w14:textId="77777777" w:rsidR="00F35736" w:rsidRDefault="00F35736" w:rsidP="00F35736">
      <w:pPr>
        <w:pStyle w:val="ListParagraph"/>
        <w:numPr>
          <w:ilvl w:val="0"/>
          <w:numId w:val="23"/>
        </w:numPr>
      </w:pPr>
      <w:proofErr w:type="gramStart"/>
      <w:r>
        <w:t>complicate</w:t>
      </w:r>
      <w:proofErr w:type="gramEnd"/>
    </w:p>
    <w:p w14:paraId="1414FC00" w14:textId="77777777" w:rsidR="00F35736" w:rsidRDefault="00F35736" w:rsidP="00F35736">
      <w:pPr>
        <w:pStyle w:val="ListParagraph"/>
        <w:numPr>
          <w:ilvl w:val="0"/>
          <w:numId w:val="23"/>
        </w:numPr>
      </w:pPr>
      <w:r>
        <w:t>contend</w:t>
      </w:r>
    </w:p>
    <w:p w14:paraId="041455CF" w14:textId="77777777" w:rsidR="00F35736" w:rsidRDefault="00F35736" w:rsidP="00F35736">
      <w:pPr>
        <w:pStyle w:val="ListParagraph"/>
        <w:numPr>
          <w:ilvl w:val="0"/>
          <w:numId w:val="23"/>
        </w:numPr>
      </w:pPr>
      <w:r>
        <w:t>contradict</w:t>
      </w:r>
    </w:p>
    <w:p w14:paraId="1B2C9675" w14:textId="77777777" w:rsidR="00F35736" w:rsidRDefault="00F35736" w:rsidP="00F35736">
      <w:pPr>
        <w:pStyle w:val="ListParagraph"/>
        <w:numPr>
          <w:ilvl w:val="0"/>
          <w:numId w:val="23"/>
        </w:numPr>
      </w:pPr>
      <w:r>
        <w:t>deny</w:t>
      </w:r>
    </w:p>
    <w:p w14:paraId="1894B915" w14:textId="77777777" w:rsidR="00F35736" w:rsidRDefault="00F35736" w:rsidP="00F35736">
      <w:pPr>
        <w:pStyle w:val="ListParagraph"/>
        <w:numPr>
          <w:ilvl w:val="0"/>
          <w:numId w:val="23"/>
        </w:numPr>
      </w:pPr>
      <w:r>
        <w:t>deplore the tendency to</w:t>
      </w:r>
    </w:p>
    <w:p w14:paraId="1C8D2569" w14:textId="77777777" w:rsidR="00F35736" w:rsidRDefault="00F35736" w:rsidP="00F35736">
      <w:pPr>
        <w:pStyle w:val="ListParagraph"/>
        <w:numPr>
          <w:ilvl w:val="0"/>
          <w:numId w:val="23"/>
        </w:numPr>
      </w:pPr>
      <w:r>
        <w:t>qualify</w:t>
      </w:r>
    </w:p>
    <w:p w14:paraId="6DE0EB42" w14:textId="77777777" w:rsidR="00F35736" w:rsidRDefault="00F35736" w:rsidP="00F35736">
      <w:pPr>
        <w:pStyle w:val="ListParagraph"/>
        <w:numPr>
          <w:ilvl w:val="0"/>
          <w:numId w:val="23"/>
        </w:numPr>
      </w:pPr>
      <w:r>
        <w:t>question</w:t>
      </w:r>
    </w:p>
    <w:p w14:paraId="68AE3311" w14:textId="77777777" w:rsidR="00F35736" w:rsidRDefault="00F35736" w:rsidP="00F35736">
      <w:pPr>
        <w:pStyle w:val="ListParagraph"/>
        <w:numPr>
          <w:ilvl w:val="0"/>
          <w:numId w:val="23"/>
        </w:numPr>
      </w:pPr>
      <w:r>
        <w:t>refute</w:t>
      </w:r>
    </w:p>
    <w:p w14:paraId="7DEA092F" w14:textId="77777777" w:rsidR="00F35736" w:rsidRDefault="00F35736" w:rsidP="00F35736">
      <w:pPr>
        <w:pStyle w:val="ListParagraph"/>
        <w:numPr>
          <w:ilvl w:val="0"/>
          <w:numId w:val="23"/>
        </w:numPr>
      </w:pPr>
      <w:r>
        <w:t>reject</w:t>
      </w:r>
    </w:p>
    <w:p w14:paraId="166F5380" w14:textId="77777777" w:rsidR="00F35736" w:rsidRDefault="00F35736" w:rsidP="00F35736">
      <w:pPr>
        <w:pStyle w:val="ListParagraph"/>
        <w:numPr>
          <w:ilvl w:val="0"/>
          <w:numId w:val="23"/>
        </w:numPr>
      </w:pPr>
      <w:r>
        <w:t>renounce</w:t>
      </w:r>
    </w:p>
    <w:p w14:paraId="47E3200E" w14:textId="77777777" w:rsidR="00F35736" w:rsidRPr="00F35736" w:rsidRDefault="00F35736" w:rsidP="00F35736">
      <w:pPr>
        <w:pStyle w:val="ListParagraph"/>
        <w:numPr>
          <w:ilvl w:val="0"/>
          <w:numId w:val="23"/>
        </w:numPr>
        <w:rPr>
          <w:rFonts w:ascii="Poppins" w:eastAsia="Poppins" w:hAnsi="Poppins" w:cs="Poppins"/>
          <w:color w:val="auto"/>
          <w:szCs w:val="20"/>
        </w:rPr>
      </w:pPr>
      <w:r>
        <w:t>repudiate</w:t>
      </w:r>
      <w:bookmarkStart w:id="4" w:name="_fxmmy2wfv96b" w:colFirst="0" w:colLast="0"/>
      <w:bookmarkEnd w:id="4"/>
    </w:p>
    <w:p w14:paraId="6F5188A8" w14:textId="30E5AEB6" w:rsidR="00F35736" w:rsidRDefault="00F35736" w:rsidP="00F35736">
      <w:pPr>
        <w:pStyle w:val="Heading3"/>
      </w:pPr>
      <w:r w:rsidRPr="008A1C0A">
        <w:t>V</w:t>
      </w:r>
      <w:r w:rsidR="00DE6E81">
        <w:t>erbs For Making Recommendations</w:t>
      </w:r>
    </w:p>
    <w:p w14:paraId="28E9DC8F" w14:textId="77777777" w:rsidR="00DE6E81" w:rsidRDefault="00DE6E81" w:rsidP="00F35736">
      <w:pPr>
        <w:pStyle w:val="ListParagraph"/>
        <w:numPr>
          <w:ilvl w:val="0"/>
          <w:numId w:val="24"/>
        </w:numPr>
      </w:pPr>
      <w:r>
        <w:t>Advocate</w:t>
      </w:r>
    </w:p>
    <w:p w14:paraId="25F4917D" w14:textId="7002725A" w:rsidR="00F35736" w:rsidRDefault="00F35736" w:rsidP="00F35736">
      <w:pPr>
        <w:pStyle w:val="ListParagraph"/>
        <w:numPr>
          <w:ilvl w:val="0"/>
          <w:numId w:val="24"/>
        </w:numPr>
      </w:pPr>
      <w:r>
        <w:t>call for</w:t>
      </w:r>
    </w:p>
    <w:p w14:paraId="327E3703" w14:textId="77777777" w:rsidR="00F35736" w:rsidRDefault="00F35736" w:rsidP="00F35736">
      <w:pPr>
        <w:pStyle w:val="ListParagraph"/>
        <w:numPr>
          <w:ilvl w:val="0"/>
          <w:numId w:val="24"/>
        </w:numPr>
      </w:pPr>
      <w:r>
        <w:t>demand</w:t>
      </w:r>
    </w:p>
    <w:p w14:paraId="2F113652" w14:textId="77777777" w:rsidR="00F35736" w:rsidRDefault="00F35736" w:rsidP="00F35736">
      <w:pPr>
        <w:pStyle w:val="ListParagraph"/>
        <w:numPr>
          <w:ilvl w:val="0"/>
          <w:numId w:val="24"/>
        </w:numPr>
      </w:pPr>
      <w:proofErr w:type="gramStart"/>
      <w:r>
        <w:t>encourage</w:t>
      </w:r>
      <w:proofErr w:type="gramEnd"/>
    </w:p>
    <w:p w14:paraId="425DC586" w14:textId="77777777" w:rsidR="00F35736" w:rsidRDefault="00F35736" w:rsidP="00F35736">
      <w:pPr>
        <w:pStyle w:val="ListParagraph"/>
        <w:numPr>
          <w:ilvl w:val="0"/>
          <w:numId w:val="24"/>
        </w:numPr>
      </w:pPr>
      <w:r>
        <w:t>exhort</w:t>
      </w:r>
    </w:p>
    <w:p w14:paraId="226F8870" w14:textId="77777777" w:rsidR="00F35736" w:rsidRDefault="00F35736" w:rsidP="00F35736">
      <w:pPr>
        <w:pStyle w:val="ListParagraph"/>
        <w:numPr>
          <w:ilvl w:val="0"/>
          <w:numId w:val="24"/>
        </w:numPr>
      </w:pPr>
      <w:r>
        <w:t>implore</w:t>
      </w:r>
    </w:p>
    <w:p w14:paraId="2BD1F39A" w14:textId="77777777" w:rsidR="00F35736" w:rsidRDefault="00F35736" w:rsidP="00F35736">
      <w:pPr>
        <w:pStyle w:val="ListParagraph"/>
        <w:numPr>
          <w:ilvl w:val="0"/>
          <w:numId w:val="24"/>
        </w:numPr>
      </w:pPr>
      <w:r>
        <w:t>plead</w:t>
      </w:r>
    </w:p>
    <w:p w14:paraId="307B164A" w14:textId="77777777" w:rsidR="00F35736" w:rsidRDefault="00F35736" w:rsidP="00F35736">
      <w:pPr>
        <w:pStyle w:val="ListParagraph"/>
        <w:numPr>
          <w:ilvl w:val="0"/>
          <w:numId w:val="24"/>
        </w:numPr>
      </w:pPr>
      <w:proofErr w:type="gramStart"/>
      <w:r>
        <w:t>recommend</w:t>
      </w:r>
      <w:proofErr w:type="gramEnd"/>
    </w:p>
    <w:p w14:paraId="7D12E953" w14:textId="77777777" w:rsidR="00F35736" w:rsidRDefault="00F35736" w:rsidP="00F35736">
      <w:pPr>
        <w:pStyle w:val="ListParagraph"/>
        <w:numPr>
          <w:ilvl w:val="0"/>
          <w:numId w:val="24"/>
        </w:numPr>
      </w:pPr>
      <w:r>
        <w:t>urge</w:t>
      </w:r>
    </w:p>
    <w:p w14:paraId="598E0A30" w14:textId="77777777" w:rsidR="00F35736" w:rsidRDefault="00F35736" w:rsidP="00F35736">
      <w:pPr>
        <w:pStyle w:val="ListParagraph"/>
        <w:numPr>
          <w:ilvl w:val="0"/>
          <w:numId w:val="24"/>
        </w:numPr>
      </w:pPr>
      <w:proofErr w:type="gramStart"/>
      <w:r>
        <w:t>warn</w:t>
      </w:r>
      <w:bookmarkEnd w:id="3"/>
      <w:proofErr w:type="gramEnd"/>
    </w:p>
    <w:p w14:paraId="3929C927" w14:textId="5AA351C9" w:rsidR="00F35736" w:rsidRPr="00435490" w:rsidRDefault="00F35736" w:rsidP="00F35736">
      <w:pPr>
        <w:pStyle w:val="Heading2"/>
      </w:pPr>
      <w:r w:rsidRPr="00435490">
        <w:t>P</w:t>
      </w:r>
      <w:r w:rsidR="00DE6E81">
        <w:t>art</w:t>
      </w:r>
      <w:r w:rsidRPr="00435490">
        <w:t xml:space="preserve"> 4. I</w:t>
      </w:r>
      <w:r w:rsidR="00DE6E81">
        <w:t>n</w:t>
      </w:r>
      <w:r w:rsidRPr="00435490">
        <w:t xml:space="preserve"> S</w:t>
      </w:r>
      <w:r w:rsidR="00DE6E81">
        <w:t>pecific Academic Contexts</w:t>
      </w:r>
    </w:p>
    <w:p w14:paraId="13169E5C" w14:textId="77777777" w:rsidR="00F35736" w:rsidRPr="003B71EE" w:rsidRDefault="00F35736" w:rsidP="00F35736">
      <w:pPr>
        <w:rPr>
          <w:b/>
          <w:bCs/>
        </w:rPr>
      </w:pPr>
      <w:r w:rsidRPr="00435490">
        <w:rPr>
          <w:b/>
          <w:bCs/>
        </w:rPr>
        <w:t>I recommend you choose ONE chapter that you think best suits your writing needs.</w:t>
      </w:r>
    </w:p>
    <w:p w14:paraId="65C5E3F2" w14:textId="69800358" w:rsidR="00F35736" w:rsidRDefault="00F35736" w:rsidP="00F35736">
      <w:pPr>
        <w:pStyle w:val="ListParagraph"/>
        <w:numPr>
          <w:ilvl w:val="0"/>
          <w:numId w:val="20"/>
        </w:numPr>
      </w:pPr>
      <w:r>
        <w:t>“I TAKE YOUR POINT”: Entering Class Discussions (p. 172)</w:t>
      </w:r>
    </w:p>
    <w:p w14:paraId="73C6A16A" w14:textId="6F0D4572" w:rsidR="00F35736" w:rsidRDefault="00F35736" w:rsidP="00F35736">
      <w:pPr>
        <w:pStyle w:val="ListParagraph"/>
        <w:numPr>
          <w:ilvl w:val="0"/>
          <w:numId w:val="20"/>
        </w:numPr>
      </w:pPr>
      <w:r>
        <w:t>DON’T MAKE THEM SCROLL UP: Entering Online Conversations (p. 177)</w:t>
      </w:r>
    </w:p>
    <w:p w14:paraId="262B4BEE" w14:textId="6B2E17A1" w:rsidR="00F35736" w:rsidRDefault="00F35736" w:rsidP="00F35736">
      <w:pPr>
        <w:pStyle w:val="ListParagraph"/>
        <w:numPr>
          <w:ilvl w:val="0"/>
          <w:numId w:val="20"/>
        </w:numPr>
      </w:pPr>
      <w:r>
        <w:t>WHATS MOTIVING THIS WRITER? Reading for the Conversation (p. 187)</w:t>
      </w:r>
    </w:p>
    <w:p w14:paraId="660CBD01" w14:textId="624D6702" w:rsidR="00F35736" w:rsidRDefault="00F35736" w:rsidP="00F35736">
      <w:pPr>
        <w:pStyle w:val="ListParagraph"/>
        <w:numPr>
          <w:ilvl w:val="0"/>
          <w:numId w:val="20"/>
        </w:numPr>
      </w:pPr>
      <w:r>
        <w:t>“BUT AS SEVERAL RESOURCES SUGGEST”: Research as Conversations (p. 203)</w:t>
      </w:r>
    </w:p>
    <w:p w14:paraId="11BBBD83" w14:textId="4E75AABE" w:rsidR="00F35736" w:rsidRDefault="00F35736" w:rsidP="00F35736">
      <w:pPr>
        <w:pStyle w:val="ListParagraph"/>
        <w:numPr>
          <w:ilvl w:val="0"/>
          <w:numId w:val="20"/>
        </w:numPr>
      </w:pPr>
      <w:r>
        <w:t>ON CLOSER EXAMINATION: Entering Conversations about Literature (p. 232)</w:t>
      </w:r>
    </w:p>
    <w:p w14:paraId="4C6DE312" w14:textId="2C857460" w:rsidR="00F35736" w:rsidRDefault="00F35736" w:rsidP="00F35736">
      <w:pPr>
        <w:ind w:left="360"/>
        <w:jc w:val="center"/>
      </w:pPr>
      <w:r>
        <w:t>(fiction, nonfiction, novels, poetry, not so much academic)</w:t>
      </w:r>
    </w:p>
    <w:p w14:paraId="2EAD1091" w14:textId="16CE4AEA" w:rsidR="00F35736" w:rsidRDefault="00F35736" w:rsidP="00F35736">
      <w:pPr>
        <w:pStyle w:val="ListParagraph"/>
        <w:numPr>
          <w:ilvl w:val="0"/>
          <w:numId w:val="20"/>
        </w:numPr>
      </w:pPr>
      <w:r>
        <w:t>‘THE DATA SUGGEST’: Writing in the Sciences (p. 250)</w:t>
      </w:r>
    </w:p>
    <w:p w14:paraId="690E1BCF" w14:textId="56D5A79E" w:rsidR="00337EA5" w:rsidRPr="003B1298" w:rsidRDefault="00F35736" w:rsidP="00600832">
      <w:pPr>
        <w:pStyle w:val="ListParagraph"/>
        <w:numPr>
          <w:ilvl w:val="0"/>
          <w:numId w:val="20"/>
        </w:numPr>
      </w:pPr>
      <w:r>
        <w:t>“ANALYZE THIS”: Writing in the Social Sciences (p. 269)</w:t>
      </w:r>
      <w:bookmarkEnd w:id="1"/>
    </w:p>
    <w:sectPr w:rsidR="00337EA5" w:rsidRPr="003B1298" w:rsidSect="00F35736">
      <w:type w:val="continuous"/>
      <w:pgSz w:w="12240" w:h="15840"/>
      <w:pgMar w:top="1800" w:right="1008" w:bottom="1109" w:left="1440" w:header="576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69CBE" w14:textId="77777777" w:rsidR="00C63C3B" w:rsidRDefault="00C63C3B" w:rsidP="00597071">
      <w:r>
        <w:separator/>
      </w:r>
    </w:p>
  </w:endnote>
  <w:endnote w:type="continuationSeparator" w:id="0">
    <w:p w14:paraId="44374471" w14:textId="77777777" w:rsidR="00C63C3B" w:rsidRDefault="00C63C3B" w:rsidP="00597071">
      <w:r>
        <w:continuationSeparator/>
      </w:r>
    </w:p>
  </w:endnote>
  <w:endnote w:type="continuationNotice" w:id="1">
    <w:p w14:paraId="796B86F2" w14:textId="77777777" w:rsidR="00C63C3B" w:rsidRDefault="00C63C3B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efin Sans">
    <w:charset w:val="00"/>
    <w:family w:val="auto"/>
    <w:pitch w:val="variable"/>
    <w:sig w:usb0="A00000FF" w:usb1="4000204B" w:usb2="00000000" w:usb3="00000000" w:csb0="000001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1999183727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14A91" w14:textId="77777777" w:rsidR="00C63C3B" w:rsidRDefault="00C63C3B" w:rsidP="00597071">
      <w:r>
        <w:separator/>
      </w:r>
    </w:p>
  </w:footnote>
  <w:footnote w:type="continuationSeparator" w:id="0">
    <w:p w14:paraId="1E5760DE" w14:textId="77777777" w:rsidR="00C63C3B" w:rsidRDefault="00C63C3B" w:rsidP="00597071">
      <w:r>
        <w:continuationSeparator/>
      </w:r>
    </w:p>
  </w:footnote>
  <w:footnote w:type="continuationNotice" w:id="1">
    <w:p w14:paraId="4287CFDE" w14:textId="77777777" w:rsidR="00C63C3B" w:rsidRDefault="00C63C3B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3DE8526E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B8434F">
      <w:rPr>
        <w:color w:val="auto"/>
      </w:rPr>
      <w:t>2025</w:t>
    </w:r>
    <w:r w:rsidR="00E70774" w:rsidRPr="00E70774">
      <w:rPr>
        <w:color w:val="auto"/>
      </w:rPr>
      <w:t xml:space="preserve">) Volume </w:t>
    </w:r>
    <w:r w:rsidR="00B8434F">
      <w:rPr>
        <w:color w:val="auto"/>
      </w:rPr>
      <w:t>4</w:t>
    </w:r>
    <w:r w:rsidR="00E70774" w:rsidRPr="00E70774">
      <w:rPr>
        <w:color w:val="auto"/>
      </w:rPr>
      <w:t xml:space="preserve">, Issue </w:t>
    </w:r>
    <w:r w:rsidR="00B8434F">
      <w:rPr>
        <w:color w:val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2777E"/>
    <w:multiLevelType w:val="hybridMultilevel"/>
    <w:tmpl w:val="F964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C49A3"/>
    <w:multiLevelType w:val="hybridMultilevel"/>
    <w:tmpl w:val="47D41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5208A"/>
    <w:multiLevelType w:val="hybridMultilevel"/>
    <w:tmpl w:val="0D024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94D69"/>
    <w:multiLevelType w:val="hybridMultilevel"/>
    <w:tmpl w:val="0DA83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97226"/>
    <w:multiLevelType w:val="hybridMultilevel"/>
    <w:tmpl w:val="FF2AB9D6"/>
    <w:lvl w:ilvl="0" w:tplc="0DAA9CE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20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7"/>
  </w:num>
  <w:num w:numId="7" w16cid:durableId="1645429081">
    <w:abstractNumId w:val="23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9"/>
  </w:num>
  <w:num w:numId="11" w16cid:durableId="1707676182">
    <w:abstractNumId w:val="15"/>
  </w:num>
  <w:num w:numId="12" w16cid:durableId="1597782133">
    <w:abstractNumId w:val="2"/>
  </w:num>
  <w:num w:numId="13" w16cid:durableId="600920782">
    <w:abstractNumId w:val="21"/>
  </w:num>
  <w:num w:numId="14" w16cid:durableId="1263880689">
    <w:abstractNumId w:val="14"/>
  </w:num>
  <w:num w:numId="15" w16cid:durableId="1240409813">
    <w:abstractNumId w:val="5"/>
  </w:num>
  <w:num w:numId="16" w16cid:durableId="425348266">
    <w:abstractNumId w:val="13"/>
  </w:num>
  <w:num w:numId="17" w16cid:durableId="2117870186">
    <w:abstractNumId w:val="9"/>
  </w:num>
  <w:num w:numId="18" w16cid:durableId="1151556358">
    <w:abstractNumId w:val="22"/>
  </w:num>
  <w:num w:numId="19" w16cid:durableId="611785959">
    <w:abstractNumId w:val="12"/>
  </w:num>
  <w:num w:numId="20" w16cid:durableId="1996378827">
    <w:abstractNumId w:val="18"/>
  </w:num>
  <w:num w:numId="21" w16cid:durableId="825049086">
    <w:abstractNumId w:val="8"/>
  </w:num>
  <w:num w:numId="22" w16cid:durableId="1110011416">
    <w:abstractNumId w:val="11"/>
  </w:num>
  <w:num w:numId="23" w16cid:durableId="842204175">
    <w:abstractNumId w:val="16"/>
  </w:num>
  <w:num w:numId="24" w16cid:durableId="16549459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96210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0DA9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720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287F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6BF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27FEF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66FE3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2BE4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434F"/>
    <w:rsid w:val="00B86201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1D0D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AB2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63C3B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22E0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E6E81"/>
    <w:rsid w:val="00DF0EDE"/>
    <w:rsid w:val="00DF2331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8D2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5736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3E5B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  <w:rsid w:val="00F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389</Words>
  <Characters>2096</Characters>
  <Application>Microsoft Office Word</Application>
  <DocSecurity>0</DocSecurity>
  <Lines>78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9</cp:revision>
  <cp:lastPrinted>2021-09-27T12:05:00Z</cp:lastPrinted>
  <dcterms:created xsi:type="dcterms:W3CDTF">2025-11-21T19:05:00Z</dcterms:created>
  <dcterms:modified xsi:type="dcterms:W3CDTF">2025-12-10T22:29:00Z</dcterms:modified>
</cp:coreProperties>
</file>