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7A5F8133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AA5F08">
        <w:t>Observation Rubric</w:t>
      </w:r>
    </w:p>
    <w:p w14:paraId="30DB0C17" w14:textId="483E8266" w:rsidR="007C7127" w:rsidRDefault="006B10EA" w:rsidP="009435AB">
      <w:pPr>
        <w:pStyle w:val="Subtitle"/>
      </w:pPr>
      <w:r>
        <w:br/>
      </w:r>
      <w:proofErr w:type="spellStart"/>
      <w:r w:rsidR="00AA5F08">
        <w:t>Sohheon</w:t>
      </w:r>
      <w:proofErr w:type="spellEnd"/>
      <w:r w:rsidR="00AA5F08">
        <w:t xml:space="preserve"> Yang</w:t>
      </w:r>
      <w:r w:rsidR="00AA5F08" w:rsidRPr="009F4930">
        <w:rPr>
          <w:vertAlign w:val="superscript"/>
          <w:lang w:eastAsia="ko-KR"/>
        </w:rPr>
        <w:t>a</w:t>
      </w:r>
      <w:r w:rsidR="00AA5F08">
        <w:t xml:space="preserve"> and</w:t>
      </w:r>
      <w:r w:rsidR="00AA5F08" w:rsidRPr="0049451D">
        <w:t xml:space="preserve"> Anne Wini</w:t>
      </w:r>
      <w:r w:rsidR="00AA5F08">
        <w:t>ger</w:t>
      </w:r>
      <w:r w:rsidR="00AA5F08">
        <w:rPr>
          <w:vertAlign w:val="superscript"/>
          <w:lang w:eastAsia="ko-KR"/>
        </w:rPr>
        <w:t>b</w:t>
      </w:r>
      <w:r w:rsidR="00AA5F08">
        <w:t>;</w:t>
      </w:r>
      <w:r w:rsidR="00AA5F08">
        <w:tab/>
      </w:r>
      <w:proofErr w:type="spellStart"/>
      <w:r w:rsidR="00AA5F08" w:rsidRPr="009F4930">
        <w:rPr>
          <w:vertAlign w:val="superscript"/>
          <w:lang w:eastAsia="ko-KR"/>
        </w:rPr>
        <w:t>a</w:t>
      </w:r>
      <w:r w:rsidR="00AA5F08">
        <w:t>Indiana</w:t>
      </w:r>
      <w:proofErr w:type="spellEnd"/>
      <w:r w:rsidR="00AA5F08">
        <w:t xml:space="preserve"> University, </w:t>
      </w:r>
      <w:proofErr w:type="spellStart"/>
      <w:r w:rsidR="00AA5F08">
        <w:rPr>
          <w:vertAlign w:val="superscript"/>
          <w:lang w:eastAsia="ko-KR"/>
        </w:rPr>
        <w:t>b</w:t>
      </w:r>
      <w:r w:rsidR="00AA5F08" w:rsidRPr="009F56AD">
        <w:t>A</w:t>
      </w:r>
      <w:proofErr w:type="spellEnd"/>
      <w:r w:rsidR="00AA5F08" w:rsidRPr="009F56AD">
        <w:t xml:space="preserve"> Public Elementary School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53FA9CE4" w14:textId="77777777" w:rsidR="00AA5F08" w:rsidRDefault="00AA5F08" w:rsidP="00AA5F08">
      <w:pPr>
        <w:spacing w:after="200"/>
        <w:rPr>
          <w:lang w:eastAsia="ko-KR"/>
        </w:rPr>
      </w:pPr>
      <w:r w:rsidRPr="0049451D">
        <w:rPr>
          <w:lang w:eastAsia="ko-KR"/>
        </w:rPr>
        <w:t>The observation rubric was initially drafted using the “</w:t>
      </w:r>
      <w:hyperlink r:id="rId11" w:history="1">
        <w:r w:rsidRPr="0049451D">
          <w:rPr>
            <w:rStyle w:val="Hyperlink"/>
            <w:rFonts w:eastAsia="Batang" w:cstheme="majorHAnsi"/>
            <w:szCs w:val="20"/>
            <w:lang w:eastAsia="ko-KR"/>
          </w:rPr>
          <w:t>Magic School AI</w:t>
        </w:r>
      </w:hyperlink>
      <w:r w:rsidRPr="0049451D">
        <w:rPr>
          <w:lang w:eastAsia="ko-KR"/>
        </w:rPr>
        <w:t xml:space="preserve"> – Rubric Generator” and subsequently reviewed and refined by the researcher to ensure alignment with the study's instructional goals.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620"/>
        <w:gridCol w:w="1620"/>
        <w:gridCol w:w="1777"/>
        <w:gridCol w:w="1703"/>
        <w:gridCol w:w="1785"/>
      </w:tblGrid>
      <w:tr w:rsidR="00AA5F08" w:rsidRPr="0049451D" w14:paraId="1593AC13" w14:textId="77777777" w:rsidTr="0096383E">
        <w:trPr>
          <w:tblHeader/>
        </w:trPr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5061C978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Criteria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527AD6FC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1</w:t>
            </w:r>
            <w:r>
              <w:rPr>
                <w:lang w:eastAsia="ko-KR"/>
              </w:rPr>
              <w:t>:</w:t>
            </w:r>
            <w:r w:rsidRPr="0049451D">
              <w:rPr>
                <w:lang w:eastAsia="ko-KR"/>
              </w:rPr>
              <w:t xml:space="preserve"> Beginning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4D966BF2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2</w:t>
            </w:r>
            <w:r>
              <w:rPr>
                <w:lang w:eastAsia="ko-KR"/>
              </w:rPr>
              <w:t>:</w:t>
            </w:r>
            <w:r w:rsidRPr="0049451D">
              <w:rPr>
                <w:lang w:eastAsia="ko-KR"/>
              </w:rPr>
              <w:t xml:space="preserve"> Emerging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1EB7FA0F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3</w:t>
            </w:r>
            <w:r>
              <w:rPr>
                <w:lang w:eastAsia="ko-KR"/>
              </w:rPr>
              <w:t>:</w:t>
            </w:r>
            <w:r w:rsidRPr="0049451D">
              <w:rPr>
                <w:lang w:eastAsia="ko-KR"/>
              </w:rPr>
              <w:t xml:space="preserve"> Developing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1300CE72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4</w:t>
            </w:r>
            <w:r>
              <w:rPr>
                <w:lang w:eastAsia="ko-KR"/>
              </w:rPr>
              <w:t>:</w:t>
            </w:r>
            <w:r w:rsidRPr="0049451D">
              <w:rPr>
                <w:lang w:eastAsia="ko-KR"/>
              </w:rPr>
              <w:t xml:space="preserve"> Proficient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20FC9959" w14:textId="77777777" w:rsidR="00AA5F08" w:rsidRPr="0049451D" w:rsidRDefault="00AA5F08" w:rsidP="0096383E">
            <w:pPr>
              <w:pStyle w:val="Heading2"/>
              <w:snapToGrid w:val="0"/>
              <w:spacing w:before="0"/>
              <w:ind w:left="0" w:firstLine="0"/>
              <w:rPr>
                <w:lang w:eastAsia="ko-KR"/>
              </w:rPr>
            </w:pPr>
            <w:r w:rsidRPr="0049451D">
              <w:rPr>
                <w:lang w:eastAsia="ko-KR"/>
              </w:rPr>
              <w:t>5</w:t>
            </w:r>
            <w:r>
              <w:rPr>
                <w:lang w:eastAsia="ko-KR"/>
              </w:rPr>
              <w:t>:</w:t>
            </w:r>
            <w:r w:rsidRPr="0049451D">
              <w:rPr>
                <w:lang w:eastAsia="ko-KR"/>
              </w:rPr>
              <w:t xml:space="preserve"> Exemplary</w:t>
            </w:r>
          </w:p>
        </w:tc>
      </w:tr>
      <w:tr w:rsidR="00AA5F08" w:rsidRPr="0049451D" w14:paraId="2164A4C7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5D3D05FB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Device Exploration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091B470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little interest in exploring devices; does not ask questions or interact.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76818188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Explores devices with some prompting; asks few questions.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61532701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Explores devices independently; asks relevant questions.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E0C4115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Actively explores various devices; asks thoughtful questions.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72995C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Explores devices confidently; demonstrates curiosity and shares observations with peers.</w:t>
            </w:r>
          </w:p>
        </w:tc>
      </w:tr>
      <w:tr w:rsidR="00AA5F08" w:rsidRPr="0049451D" w14:paraId="40A787E3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2D122ED3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Device Care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2D9B27E6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Does not demonstrate understanding of device care or proper handling.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345674D4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some awareness of device care with reminders.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73CCAD6C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Demonstrates proper handling and basic care independently.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0E260239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Cares for devices responsibly and encourages others to do so.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32FED17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Consistently models excellent device care and explains reasons for care to peers.</w:t>
            </w:r>
          </w:p>
        </w:tc>
      </w:tr>
      <w:tr w:rsidR="00AA5F08" w:rsidRPr="0049451D" w14:paraId="2C3FA7E8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7614E4F4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Coding Robot Exploration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1AA06E83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minimal interaction with coding robot; little recognition of symbols.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17BC5376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Interacts with coding robot with assistance; recognizes some symbols.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2EDA8E5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Independently uses coding robot; identifies most symbols.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11945DFB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Demonstrates understanding of symbols; navigates robot with minimal help.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03E611A5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Explores robot confidently; explains symbols and sequences to others.</w:t>
            </w:r>
          </w:p>
        </w:tc>
      </w:tr>
      <w:tr w:rsidR="00AA5F08" w:rsidRPr="0049451D" w14:paraId="299ADD3C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21193544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Map Creation &amp; Symbol Use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5F1D3E34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Creates map or symbols with limited connection to themes; minimal effort.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7FE83C2F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Creates basic maps or symbols with some thematic elements.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0B59DB7A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Creates maps and symbols that represent key ideas with guidance.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1145894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Creates detailed maps and meaningful symbols; explains their purpose.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3B1085E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Creatively constructs maps and symbols; connects them to ideas and shares explanations.</w:t>
            </w:r>
          </w:p>
        </w:tc>
      </w:tr>
      <w:tr w:rsidR="00AA5F08" w:rsidRPr="0049451D" w14:paraId="161440DB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35260D88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AI Introduction &amp; Curiosity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0FE1DFDE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limited recognition or interest in AI concepts.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675609BC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Identifies AI as technology with some support; shows emerging curiosity.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6AC05313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Describes AI in simple terms; asks questions to learn more.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F4001A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Demonstrates clear understanding of AI basics; actively engages with AI concepts.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058D3AC5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Explores AI concepts deeply; connects AI to daily life and expresses curiosity confidently.</w:t>
            </w:r>
          </w:p>
        </w:tc>
      </w:tr>
      <w:tr w:rsidR="00AA5F08" w:rsidRPr="0049451D" w14:paraId="54EEDCC4" w14:textId="77777777" w:rsidTr="0096383E">
        <w:tc>
          <w:tcPr>
            <w:tcW w:w="1250" w:type="dxa"/>
            <w:tcMar>
              <w:left w:w="29" w:type="dxa"/>
              <w:right w:w="29" w:type="dxa"/>
            </w:tcMar>
          </w:tcPr>
          <w:p w14:paraId="2208C842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Sensing and Perception (Humans &amp; AI)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45F75661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limited awareness of human senses or AI sensors.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CB9AF3D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Identifies some human senses and AI sensors with help.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</w:tcPr>
          <w:p w14:paraId="3A84957F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Recognizes and names most human senses and AI sensors.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</w:tcPr>
          <w:p w14:paraId="0B67F6EA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Explains how human senses and AI sensors are similar and different.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</w:tcPr>
          <w:p w14:paraId="2E783751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Demonstrates deep understanding; teaches others about sensing and perception.</w:t>
            </w:r>
          </w:p>
        </w:tc>
      </w:tr>
      <w:tr w:rsidR="00AA5F08" w:rsidRPr="0049451D" w14:paraId="7AAEA034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6A9829D6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lastRenderedPageBreak/>
              <w:t>Comparing Humans and AI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6A89E064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Unable to compare or discuss differences between humans and AI.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46723A83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Makes simple comparisons with assistance.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273B99CB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Discusses similarities and differences with some detail.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487D14C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Clearly compares human and AI abilities; articulates differences.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59750E33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Thoughtfully analyzes human-AI similarities and differences; shares insights with peers.</w:t>
            </w:r>
          </w:p>
        </w:tc>
      </w:tr>
      <w:tr w:rsidR="00AA5F08" w:rsidRPr="0049451D" w14:paraId="5AB814F7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1844D764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Creative Collaboration with AI (Song/Video)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2407CB68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Participates minimally in AI collaborative activities.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5A131179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Engages in collaboration with support; contributes basic ideas.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28922DBE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Collaborates actively; expresses ideas clearly in AI projects.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0AF1A340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Leads or supports AI collaboration; evaluates AI contributions thoughtfully.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73107DD4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Innovates collaboratively with AI; critiques and improves AI-generated work.</w:t>
            </w:r>
          </w:p>
        </w:tc>
      </w:tr>
      <w:tr w:rsidR="00AA5F08" w:rsidRPr="0049451D" w14:paraId="68F8ED30" w14:textId="77777777" w:rsidTr="0096383E">
        <w:tc>
          <w:tcPr>
            <w:tcW w:w="1250" w:type="dxa"/>
            <w:tcMar>
              <w:left w:w="29" w:type="dxa"/>
              <w:right w:w="29" w:type="dxa"/>
            </w:tcMar>
            <w:hideMark/>
          </w:tcPr>
          <w:p w14:paraId="63093799" w14:textId="77777777" w:rsidR="00AA5F08" w:rsidRPr="009E52C2" w:rsidRDefault="00AA5F08" w:rsidP="0096383E">
            <w:pPr>
              <w:rPr>
                <w:b/>
                <w:bCs/>
                <w:lang w:eastAsia="ko-KR"/>
              </w:rPr>
            </w:pPr>
            <w:r w:rsidRPr="009E52C2">
              <w:rPr>
                <w:b/>
                <w:bCs/>
                <w:lang w:eastAsia="ko-KR"/>
              </w:rPr>
              <w:t>Ethical Awareness &amp; AI Impact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73A6C9B0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Shows little understanding of AI's societal impact or ethics.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hideMark/>
          </w:tcPr>
          <w:p w14:paraId="60944E5C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Recognizes basic ethical rules with reminders.</w:t>
            </w:r>
          </w:p>
        </w:tc>
        <w:tc>
          <w:tcPr>
            <w:tcW w:w="1777" w:type="dxa"/>
            <w:tcMar>
              <w:left w:w="29" w:type="dxa"/>
              <w:right w:w="29" w:type="dxa"/>
            </w:tcMar>
            <w:hideMark/>
          </w:tcPr>
          <w:p w14:paraId="348F0F24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Discusses some ethical considerations and AI impact.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F44AB3F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Articulates ethical issues and societal impacts of AI clearly.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86A818E" w14:textId="77777777" w:rsidR="00AA5F08" w:rsidRPr="0049451D" w:rsidRDefault="00AA5F08" w:rsidP="0096383E">
            <w:pPr>
              <w:rPr>
                <w:lang w:eastAsia="ko-KR"/>
              </w:rPr>
            </w:pPr>
            <w:r w:rsidRPr="0049451D">
              <w:rPr>
                <w:lang w:eastAsia="ko-KR"/>
              </w:rPr>
              <w:t>Demonstrates advanced ethical reasoning; advocates for responsible AI use.</w:t>
            </w:r>
          </w:p>
        </w:tc>
      </w:tr>
    </w:tbl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927E" w14:textId="77777777" w:rsidR="00DF71AE" w:rsidRDefault="00DF71AE" w:rsidP="00597071">
      <w:r>
        <w:separator/>
      </w:r>
    </w:p>
  </w:endnote>
  <w:endnote w:type="continuationSeparator" w:id="0">
    <w:p w14:paraId="7AF3E591" w14:textId="77777777" w:rsidR="00DF71AE" w:rsidRDefault="00DF71AE" w:rsidP="00597071">
      <w:r>
        <w:continuationSeparator/>
      </w:r>
    </w:p>
  </w:endnote>
  <w:endnote w:type="continuationNotice" w:id="1">
    <w:p w14:paraId="1062C63C" w14:textId="77777777" w:rsidR="00DF71AE" w:rsidRDefault="00DF71AE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DFB1" w14:textId="77777777" w:rsidR="00DF71AE" w:rsidRDefault="00DF71AE" w:rsidP="00597071">
      <w:r>
        <w:separator/>
      </w:r>
    </w:p>
  </w:footnote>
  <w:footnote w:type="continuationSeparator" w:id="0">
    <w:p w14:paraId="2A758F4E" w14:textId="77777777" w:rsidR="00DF71AE" w:rsidRDefault="00DF71AE" w:rsidP="00597071">
      <w:r>
        <w:continuationSeparator/>
      </w:r>
    </w:p>
  </w:footnote>
  <w:footnote w:type="continuationNotice" w:id="1">
    <w:p w14:paraId="684EA50B" w14:textId="77777777" w:rsidR="00DF71AE" w:rsidRDefault="00DF71AE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6598E6F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AA5F08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AA5F08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AA5F08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686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52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9E6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A5F08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DF71AE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gicschool.ai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2026-05-12T14:14:00Z</dcterms:created>
  <dcterms:modified xsi:type="dcterms:W3CDTF">2026-05-12T14:15:00Z</dcterms:modified>
</cp:coreProperties>
</file>